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329</w:t>
      </w:r>
    </w:p>
    <w:p>
      <w:r>
        <w:t>Bundesgericht (BGE), 2019-08-02, DE</w:t>
      </w:r>
    </w:p>
    <w:p>
      <w:r>
        <w:rPr>
          <w:b/>
        </w:rPr>
        <w:t xml:space="preserve">Quelle: </w:t>
      </w:r>
      <w:r>
        <w:t>https://mcp.opencaselaw.ch/entscheid/bge_145 IV 329</w:t>
      </w:r>
    </w:p>
    <w:p>
      <w:r>
        <w:t>FR: ATF 145 IV 329</w:t>
      </w:r>
    </w:p>
    <w:p>
      <w:r>
        <w:t>IT: DTF 145 IV 329</w:t>
      </w:r>
    </w:p>
    <w:p>
      <w:pPr>
        <w:pStyle w:val="Heading2"/>
      </w:pPr>
      <w:r>
        <w:t>Regeste</w:t>
      </w:r>
    </w:p>
    <w:p>
      <w:r>
        <w:t>Regeste Art. 22 SpoFöG, Art. 1 StGB; Doping, Legalitätsprinzip. Der Begriff "Dopingzweck" wird vom Gesetzgeber und allgemeinen Sprachgebrauch hinreichend bestimmt und die Strafnorm in Art. 22 SpoFöG verletzt das Legalitätsprinzip nicht (E. 2.3.2). Art. 22 SpoFöG ist auch ausserhalb von Wettkämpfen anwendbar (E. 2.4.2).</w:t>
      </w:r>
    </w:p>
    <w:p>
      <w:pPr>
        <w:pStyle w:val="Heading2"/>
      </w:pPr>
      <w:r>
        <w:t>Erwägungen</w:t>
      </w:r>
    </w:p>
    <w:p>
      <w:r>
        <w:rPr>
          <w:b/>
        </w:rPr>
        <w:t>E. 2.1</w:t>
      </w:r>
    </w:p>
    <w:p>
      <w:r>
        <w:t>Der Beschwerdeführer macht mit Bezug auf die Verurteilung wegen gewerbsmässiger Widerhandlung gegen das Sportförderungsgesetz eventualiter eine Verletzung des Legalitätsprinzips geltend.</w:t>
      </w:r>
    </w:p>
    <w:p>
      <w:r>
        <w:rPr>
          <w:b/>
        </w:rPr>
        <w:t>E. 2.2</w:t>
      </w:r>
    </w:p>
    <w:p>
      <w:r>
        <w:t>Der Grundsatz der Legalität ("nulla poena sine lege") ist in Art. 1 StGB und Art. 7 EMRK ausdrücklich verankert. 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BGE 138 IV 13 E. 4.1; je mit Hinweisen). 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mit Hinweisen). Diesen Anforderungen genügt eine Blankettstrafnorm, die mit einer zweiten, sogenannten blankettausfüllenden Norm zusammen gelesen und ausgelegt werden muss (Urteile 6B_385/2008 vom 21. Juli 2008 E. 3.3.2 mit Hinweis; 6B_967/2015 vom 22. April 2016 E. 2.3). Dass der Gesetzgeber allgemeine Begriffe verwendet, die nicht eindeutig allgemeingültig umschrieben werden können und deren Auslegung und Anwendung er der Praxis überlassen muss, lässt sich indes nicht vermeiden ( BGE 141 IV 279 E. 1.3.3; BGE 138 IV 13 E. 4.1).</w:t>
      </w:r>
    </w:p>
    <w:p>
      <w:r>
        <w:rPr>
          <w:b/>
        </w:rPr>
        <w:t>E. 2.3.1</w:t>
      </w:r>
    </w:p>
    <w:p>
      <w:r>
        <w:t>Zur Begründung bringt der Beschwerdeführer zunächst vor, Art. 22 SpoFöG verletze das Bestimmtheitsgebot. Es fehle an einer Legaldefinition von Dopingzweck sowie Sport.</w:t>
      </w:r>
    </w:p>
    <w:p>
      <w:r>
        <w:rPr>
          <w:b/>
        </w:rPr>
        <w:t>E. 2.3.2</w:t>
      </w:r>
    </w:p>
    <w:p>
      <w:r>
        <w:t>Entgegen der Ansicht des Beschwerdeführers wird Doping vom Gesetzgeber definiert. Laut Art. 19 Abs. 1 SpoFöG ist Doping der BGE 145 IV 329 S. 332 "Missbrauch von Mitteln und Methoden zur Steigerung der körperlichen Leistungsfähigkeit im Sport". Darüber hinaus werden die in dieser Definition genannten Mittel und Methoden vom Gesetzgeber näher beschrieben, wenn auch nicht direkt in der Strafbestimmung von Art. 22 SpoFöG . Gemäss dieser wird jedoch bestraft, wer Mittel nach Art. 19 Abs. 3 SpoFöG herstellt, erwirbt, einführt, ausführt, durchführt, vermittelt, vertreibt, verschreibt, in Verkehr bringt, abgibt oder besitzt oder Methoden nach Art. 19 Abs. 3 SpoFöG bei Dritten anwendet. Laut Art. 19 Abs. 3 SpoFöG legt der Bundesrat unter Berücksichtigung der internationalen Entwicklung die Mittel und Methoden fest, deren Verwendung oder Anwendung strafbar sind. Dies tut er in Art. 74 der Verordnung vom 23. Mai 2012 über die Förderung von Sport und Bewegung (Sportförderungsverordnung, SpoFöV; SR 415.01) und deren Anhang. Verbotene Dopingmittel im Sinne von Art. 19 Abs. 3 SpoFöG sind die im Anhang der Sportförderungsverordnung aufgeführten Stoffe; deren Salze, Ester, Ether und optische Isomere; die Salze, Ester und Ether der optischen Isomere; und Präparate, die diese Stoffe enthalten ( Art. 74 Abs. 1 lit. a bis d SpoFöV ). Verbotene Methoden im Sinne von Art. 19 Abs. 3 SpoFöG sind die im Anhang der Sportförderungsverordnung aufgeführten Methoden ( Art. 74 Abs. 2 SpoFöV ). Soweit der Beschwerdeführer das Fehlen einer Legaldefinition von "Zweck" oder von "Sport" rügt, kann ihm nicht gefolgt werden. Diese beiden Begriffe sind aufgrund des allgemeinen Sprachgebrauchs hinreichend präzise, sodass der Beschwerdeführer sein Verhalten danach richten und die Folgen seines Verhaltens mit einem den Umständen entsprechenden Grad an Gewissheit erkennen konnte. Bezüglich Sport erwägt ohnehin schon die Vorinstanz, der Beschwerdeführer stelle nicht in Abrede, dass es sich beim Bodybuilding und bei in Fitnesscentern unter dem Oberbegriff Fitness ausgeübten Aktivitäten um sportliche Tätigkeiten handelt. Auch vor Bundesgericht stellt er dies nicht in Abrede. Die Rüge einer Verletzung des Bestimmtheitsgebots erweist sich als unbegründet.</w:t>
      </w:r>
    </w:p>
    <w:p>
      <w:r>
        <w:rPr>
          <w:b/>
        </w:rPr>
        <w:t>E. 2.4.1</w:t>
      </w:r>
    </w:p>
    <w:p>
      <w:r>
        <w:t>Der Beschwerdeführer begründet die von ihm geltend gemachte Verletzung des Legalitätsprinzips weiter damit, der Anwendungsbereich der Strafbestimmung betreffe bloss den (reglementierten) Wettkampfsport. Eine Ausweitung sei mit der ab 1. Oktober 2012 in Kraft getretenen Strafbestimmung nicht erfolgt. BGE 145 IV 329 S. 333</w:t>
      </w:r>
    </w:p>
    <w:p>
      <w:r>
        <w:rPr>
          <w:b/>
        </w:rPr>
        <w:t>E. 2.4.2</w:t>
      </w:r>
    </w:p>
    <w:p>
      <w:r>
        <w:t>Aus dem Gesetz ergibt sich keine Beschränkung der Strafnorm von Art. 22 SpoFöG auf Wettkämpfe. Vielmehr hat der Gesetzgeber den Wortlaut der vor der Totalrevision des Sportförderungsgesetzes geltenden Regelung (Art. 11c des Bundesgesetzes vom 17. März 1972 über die Förderung von Turnen und Sport [aSpoFöG; AS 1972 897, in Kraft bis 30. September 2012] i.V.m. Art. 3 und 4 der Verordnung vom 31. Oktober 2001 des VBS über Dopingmittel und -methoden [Dopingmittelverordnung; SR 415.052.1, ebenfalls in Kraft bis 30. September 2012]), wonach die in der Verordnung und in deren Anhang aufgeführten Mittel und Methoden "im reglementierten Wettkampfsport" verboten waren, aufgehoben. Seit dem 1. Oktober 2012 statuiert der Gesetzgeber eine generelle Strafbarkeit von Doping im Sport. Art. 22 Abs. 1 SpoFöG zufolge wird bestraft, wer Mittel nach Art. 19 Abs. 3 SpoFöG herstellt, erwirbt, einführt, ausführt, durchführt, vermittelt, vertreibt, verschreibt, in Verkehr bringt, abgibt oder besitzt oder Methoden nach Art. 19 Abs. 3 SpoFöG bei Dritten anwendet. Gestützt auf Art. 19 Abs. 3 SpoFöG legt der Bundesrat unter Berücksichtigung der internationalen Entwicklung in Art. 74 SpoFöV und deren Anhang die Mittel und Methoden fest, deren Verwendung oder Anwendung strafbar sind (vgl. E. 2.3.2 hiervor). Die früher geltende Einschränkung der Strafbarkeit auf den reglementierten Wettkampfsport strich der Gesetzgeber ersatzlos, womit er die Strafbarkeit für Doping auf den Breitensport ausdehnte, soweit die strafbaren Handlungen nicht zwecks des eigenen Konsums erfolgen (vgl. Art. 22 Abs. 4 SpoFöG ). Ferner beinhaltet das Sportförderungsgesetz Bestimmungen, darunter eine weitere Strafnorm ( Art. 25a SpoFöG ), welche sich ausdrücklich auf Sportwettkämpfe beziehen. Art. 22 SpoFöG bezieht sich demgegenüber gerade nicht auf Wettkämpfe. Auch der allgemeine Zweckartikel, laut welchem im Interesse der körperlichen Leistungsfähigkeit und der Gesundheit der Bevölkerung, der ganzheitlichen Bildung und des gesellschaftlichen Zusammenhalts Verhaltensweisen gefördert werden sollen, mit denen die positiven Werte des Sports in der Gesellschaft verankert und unerwünschte Begleiterscheinungen bekämpft werden ( Art. 1 Abs. 1 lit. d SpoFöG ), deutet darauf hin, dass die gesamte (sporttreibende) Bevölkerung Adressatin der Bestimmungen dieses Gesetzes ist und auch Sport ausserhalb von Wettkämpfen von der Strafnorm in Art. 22 SpoFöG erfasst werden soll. Der Wortlaut weiterer Bestimmungen zu allgemeinen Massnahmen ( Art. 18 SpoFöG ) und Massnahmen gegen Doping ( Art. 19 SpoFöG ) ist ein BGE 145 IV 329 S. 334 zusätzlicher Hinweis dafür, dass nicht etwa nur Wettkampfsportler, sondern sämtliche sporttreibenden Personen vor Dopingmitteln geschützt werden sollen. In der Botschaft sind gleicherweise keine Hinweise auf eine vom Gesetzgeber beabsichtigte Beschränkung der Strafbarkeit auf den Wettkampfbereich erkennbar. Auch dieser zufolge ist vielmehr nicht lediglich der ehrliche Wettkampf, sondern nebst weiterer Antidopingaspekte die gesundheitsförderliche körperliche Aktivität schützenswert. Es liegt laut Botschaft im öffentlichen Interesse, bei der Ausübung von Sport auf den Einsatz von leistungssteigernden Substanzen und Methoden zu verzichten. Im Einklang mit dieser Sichtweise wollte der Gesetzgeber die Strafbestimmungen verschärfen und eine Steigerung der Wirksamkeit der Dopingbekämpfung erreichen. Er erkannte die früher geltenden Doping-Strafnormen, gerade was den Begriff "reglementierten Wettkampfsport" betrifft, als auslegungsbedürftig sowie lückenhaft und behob diese Unzulänglichkeit gezielt (vgl. Botschaft vom 11. November 2009 zum Sportförderungsgesetz und zum Bundesgesetz über die Informationssysteme des Bundes im Bereich Sport, BBl 2009 8220 ff. Ziff. 1.2.8.1 und Ziff. 1.3.5). Auch in der Literatur wird überwiegend die Auffassung vertreten, dass sich Art. 22 SpoFöG nicht auf den reglementierten Wettkampfsport beschränkt, sondern ebenso bei sportlicher Betätigung ausserhalb solcher Anlässe Anwendung findet (vgl. BORIS KREIT, Bekämpfung der Heilmittelkriminalität, Leitfaden für die Praxis, 2016, S. 27; CONTAT/PAMBERG/PFISTER/STEINER, Dopingbekämpfung durch Staat und Private in der Schweiz, Causa Sport 2/2016 S. 159 ff., S. 167 Ziff. 4.6.1; a.M., allerdings ohne Begründung, MICHAEL BURRI, Swissmedic, Heilmittelgesetz und Strafverfahren - Gesetzeskonkurrenzen, Zuständigkeitskonflikte und Information der Öffentlichkeit, in: Das Verwaltungsstrafrecht im Wandel, Herausforderung für Strafverfolgung und Strafverteidigung, Andreas Eicker [Hrsg.], 2017, S. 169 f.). Demnach ist Art. 22 SpoFöG auf den von der Vorinstanz festgestellten Sachverhalt und ungeachtet allfälliger Wettkämpfe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